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DH-IPC-HFW21249TP-S-IL-0280B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1/2.5"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4480 (H) × 2512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256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0.008 lux@F1.6 (Color, 30 IRE) 
0.0008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20 m (65.62 ft) (Warm light) 
Up to 30 m (98.43 ft) (IR)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4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 
Tilt: 0°–90° 
Rotation: 0°–360°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2.8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112°; V: 58°; D: 136°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3.5 m (11.48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D: 98.9 m; O: 39.6 m; R: 19.8 m; I: 9.9 m (D: 324.48 ft; O: 129.92 ft; R: 64.96 ft; I: 32.48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 (the two functions support the classification and accurate detection of vehicle and human)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Plus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Search</w:t>
            </w:r>
          </w:p>
        </w:tc>
        <w:tc>
          <w:p>
            <w:r>
              <w:t>Work together with Smart NVR to perform refine intelligent search, event extraction and merging to event videos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4480 × 2512@(1–15 fps)/3072 × 1728@(1–25/30 fps) 
sub stream: 704 × 576@(1–25 fps)/704 × 480@(1–30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12M (4480 × 2512); 8M (3840 × 2160); 6M (3072 × 2048); 5M (3072 × 1728/2880 × 1620); 4M (2688 × 1520); 3M (2048 × 1536/2304 × 1296); 1080p (1920 × 1080); 1.3M (1280 × 960);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kbps–8192 kbps; 
H.265: 12 kbps–8192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90°/270° with 2688 × 1520 resolution and lower)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G.726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tripwire; intrusion; audio detection; voltage detection; SMD;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RTMP; SMTP; FTP; SFTP; DHCP; DNS; DDNS; QoS; UPnP; NTP; Multicast; ICMP; IGMP; NFS; PPPoE; P2P; Bonjour;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48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FTP; SFTP; Micro SD card (support max. 256 GB);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
Chrome; 
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IP/MAC filtering; Generation and importing of X.509 certification; syslog; HTTPS; 802.1x; Trusted boot; Trusted execution; Trusted upgrade; Session security; Security warning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(±30%); PoE (802.3af)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2.3 W (12 VDC); 3.0 W (PoE); 
Max.: 8.7 W (12 VDC); 10.1 W (PoE) (H.265 + intelligence on + illuminator intensity)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IP67; IK10 (optional)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*Basic Protection: The products are designed for general use in areas that have no specific requirements for anti-corrosion protection.
*Moderate Protection: The products feature high-grade anti-corrosion protection, making them well-suited for environments with standard corrosion resistance requirements. They perform reliably in areas up to 2 km (1.24 mi) from the coast, as well as in regions prone to acid rain exposure.
*Professional Protection: The products are fitted with premium-level anti-corrosion protection, making them ideal for use in sensitive environments such as chemical plants, docks, and coastlines.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Metal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238.5 mm × 90.7 mm × 90.7 mm (9.39" × 3.57" × 3.57") (L × W × H)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0.62 kg (1.37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0.87 kg (1.92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Celing mount; wall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