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Wireless Router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CE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Wireless Router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Wireless Router | DH-MR403(EU)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Function Slots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 × 10/100 Mbps WAN Port
3 × 10/100 Mbps LAN Port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External Port</w:t>
            </w:r>
          </w:p>
        </w:tc>
        <w:tc>
          <w:p>
            <w:r>
              <w:t>SIM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Button</w:t>
            </w:r>
          </w:p>
        </w:tc>
        <w:tc>
          <w:p>
            <w:r>
              <w:t>1 × eSync Button
1 × Reset Button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Supply</w:t>
            </w:r>
          </w:p>
        </w:tc>
        <w:tc>
          <w:p>
            <w:r>
              <w:t>12 VDC,1 A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Memory</w:t>
            </w:r>
          </w:p>
        </w:tc>
        <w:tc>
          <w:p>
            <w:r>
              <w:t>DDR 64 MB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Indicator Light</w:t>
            </w:r>
          </w:p>
        </w:tc>
        <w:tc>
          <w:p>
            <w:r>
              <w:t>1 × Power 
1 × Internet 
1 × eSync 
1 × SIM card
3 × Cellular signal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Wireless Standard</w:t>
            </w:r>
          </w:p>
        </w:tc>
        <w:tc>
          <w:p>
            <w:r>
              <w:t>Wi-Fi 2.4 GHz: IEEE 802.11b/g/n
LTE 4G: 3GPP Release10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Wireless Transmission Rate</w:t>
            </w:r>
          </w:p>
        </w:tc>
        <w:tc>
          <w:p>
            <w:r>
              <w:t>2.4 GHz: 300 Mbps
LTE FDD: 150 Mbps(DL)/50 Mbps(UL)
LTE TDD: 110 Mbps(DL)/10 Mbps(UL)
WCDMA: 384 kbps(DL)/384 kbps(UL)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Operating Frequency</w:t>
            </w:r>
          </w:p>
        </w:tc>
        <w:tc>
          <w:p>
            <w:r>
              <w:t>2.4GHz：2.417GHz～2.482GHz; 
EU Celluar Module:
LTE FDD: B1/3/7/8/20/28（2100/1800/2600/900/800/700 MHz）; LTE TDD: B40(2300 MHz); WCDMA: B1/8(2100/900 MHz)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Channel Width</w:t>
            </w:r>
          </w:p>
        </w:tc>
        <w:tc>
          <w:p>
            <w:r>
              <w:t>2.4 GHz: 20/40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Max. Output Power</w:t>
            </w:r>
          </w:p>
        </w:tc>
        <w:tc>
          <w:p>
            <w:r>
              <w:t>CE EIRP: ≤20dBm@2417-2482MHz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Transmission Distance</w:t>
            </w:r>
          </w:p>
        </w:tc>
        <w:tc>
          <w:p>
            <w:r>
              <w:t>15 m (49.21 ft)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Optimal Transmission Distance</w:t>
            </w:r>
          </w:p>
        </w:tc>
        <w:tc>
          <w:p>
            <w:r>
              <w:t>7 m (22.97 ft)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Connected Wireless Terminals</w:t>
            </w:r>
          </w:p>
        </w:tc>
        <w:tc>
          <w:p>
            <w:r>
              <w:t>2.4 GHz: 32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Network Protocol</w:t>
            </w:r>
          </w:p>
        </w:tc>
        <w:tc>
          <w:p>
            <w:r>
              <w:t>HTTP; TCP/IP; IPv4; UDP; NTP; DHCP; DNS; DDNS; IPv6; UPnP; ICMP; IGMP; ARP; TCP; WMM; 802.11b; 802.11g; 802.11n; MAC Filter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Network Access</w:t>
            </w:r>
          </w:p>
        </w:tc>
        <w:tc>
          <w:p>
            <w:r>
              <w:t>PPPoE; Dynamic IP; Static IP; APN (4G)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Operating Mode</w:t>
            </w:r>
          </w:p>
        </w:tc>
        <w:tc>
          <w:p>
            <w:r>
              <w:t>Wireless Router Mode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Protection Mode</w:t>
            </w:r>
          </w:p>
        </w:tc>
        <w:tc>
          <w:p>
            <w:r>
              <w:t>WPA; WPA2; WPA3; WPA/WPA2; WPA2/WPA3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Security Mechanism</w:t>
            </w:r>
          </w:p>
        </w:tc>
        <w:tc>
          <w:p>
            <w:r>
              <w:t>MAC filtering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NAT</w:t>
            </w:r>
          </w:p>
        </w:tc>
        <w:tc>
          <w:p>
            <w:r>
              <w:t>Port mapping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VPN</w:t>
            </w:r>
          </w:p>
        </w:tc>
        <w:tc>
          <w:p>
            <w:r>
              <w:t>No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Firmware Update</w:t>
            </w:r>
          </w:p>
        </w:tc>
        <w:tc>
          <w:p>
            <w:r>
              <w:t>Web update; App update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Consumption</w:t>
            </w:r>
          </w:p>
        </w:tc>
        <w:tc>
          <w:p>
            <w:r>
              <w:t>Full load: 6.8 W
Idling: 2.8 W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0 °C to +40 °C (+32 °F to +104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–40 °C to +70 °C (–40 °F to +158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0.31 kg (0.68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EU: 0.68 kg (1.50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227 mm × 155 mm × 173 mm (8.49" × 6.10" × 6.81")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EU: 290 mm × 270 mm × 55 mm (11.42" × 10.63" × 2.17")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4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2 kV
Differential mode: 1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Desktop mount; wall mount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Device
1 × Power Adapter
1 × Quick Start Guide
1 × Legal and Regulatory Information
1 × Network Cable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