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DHI-NVR5232-EI2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32-channel,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24-channel FD (by camera) + FR (by recorder), image stream: 24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16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(64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32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fps; 10-channel 8 MP@30 fps; 13-channel 6 MP@30 fps; 16-channel 5 MP@30 fps; 20-channel 4 MP@30 fps; 32-channel 1080p@30 fps 
AI enabled: 1-channel 32 MP@25 fps; 2-channel 24 MP@25 fps; 4-channel 16 MP@30 fps; 5-channel 12 MP@30 fps; 8-channel 8 MP@30 fps; 10-channel 6 MP@30 fps; 12-channel 5 MP@30 fps; 16-channel 4 MP@30 fps; 32-channel 1080p@30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VGA, 1 HDMI
VGA: 1920 × 1080, 1280 × 1024, 1280 × 720
HDMI: 7680×4320, 3840 × 2160, 1920 × 1080, 1280 × 1024, 1280 × 720   
Heterogeneous video source output for HDMI and VGA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1/4/8/9/16/25/36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2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(10/100/1000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4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1.55 kg (3.42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2.77 kg (6.11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375.0 mm × 284.8 mm × 56.0 mm (14.76" × 11.21" × 2.20")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427.0 mm × 137.0 mm × 356.0 mm (16.81" × 5.39" × 14.02")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