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DH-CS4228-24GT-375-V2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41.664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RJ45 10/100/1000 Mbps (PoE) 
Port 25-26: 2 × RJ45 10/100/1000 Mbps (uplink) 
Port 27-28: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7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13.3 W;
Full load: 391.7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2.7 kg (5.95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3.5 kg (7.72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(17.32"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5-24≤30 W, port 1-4≤90 W, total≤375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1-4: 1,2,4,5（V+）,3,6,7,8（V-）
Port 5-24: 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1-24 and auto-restarts the PoE port when there is no traffic for 2 min. (Only works when Managed Mode is Off)
Extend Mode: Ports 1-24;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967,753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 
1 × Legal and Regulatory Information 
1 × Power Cord 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