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DH-CHS4206-4ET-90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3.57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RJ45 10/100 Mbps (PoE) 
Port 5-6: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 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48–57 VDC, 2–1.69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1.3 W
Full load: 92.7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0.87 kg (1.92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154.3 mm × 110.4 mm × 30 mm (6.07" × 4.35"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266 mm × 239 mm × 77 mm (10.47" × 9.41" × 3.03")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2-4≤30 W, port 1≤90 W, total≤90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 Green 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1–4 can reach up to 250 meters. The negotiation speed can be reduced to 10 Mbps.
PoE Watchdog: Monitors the flow of data traffic for ports 1–4.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1,852,444.63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802.12x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