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DH-CHS4210-8GT-110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Management Type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Layer</w:t>
            </w:r>
          </w:p>
        </w:tc>
        <w:tc>
          <w:p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20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14.88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1-8: 8 × RJ45 10/100/1000 Mbps (PoE) 
Port 9-10: 2 × SFP 100/1000 Mbps (uplink)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+65 °C (–22 °F to +149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Protection</w:t>
            </w:r>
          </w:p>
        </w:tc>
        <w:tc>
          <w:p>
            <w:r>
              <w:t>IP30; IK06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+85 °C (–40 °F to +185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External dual power supply (terminal block and DC): 48–57 VDC, 2.5–2.1 A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Included Power Adapter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2 W
Full load: 116.6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
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4 kV
Differential mode: 2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0.66 kg (1.46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Gross Weight</w:t>
            </w:r>
          </w:p>
        </w:tc>
        <w:tc>
          <w:p>
            <w:r>
              <w:t>1.6 kg (3.53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171.8 mm × 139.4 mm × 42 mm (6.76" × 5.49" × 1.65")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314.5 mm × 253.5 mm × 130.5 mm (12.38" × 9.98" × 5.14")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Casing Material</w:t>
            </w:r>
          </w:p>
        </w:tc>
        <w:tc>
          <w:p>
            <w:r>
              <w:t>Iron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DIN rail mount; desktop mount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</w:t>
            </w:r>
          </w:p>
        </w:tc>
        <w:tc>
          <w:p>
            <w:r>
              <w:t>Port 3-8≤30 W, port 1–2≤90 W, total≤110 W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Protocol</w:t>
            </w:r>
          </w:p>
        </w:tc>
        <w:tc>
          <w:p>
            <w:r>
              <w:t>IEEE 802.3af; IEEE 802.3at; Hi-PoE; IEEE 802.3bt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PoE power consumption management; PoE power on/off; turns off PoE if overload is detected;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Pin Assignment</w:t>
            </w:r>
          </w:p>
        </w:tc>
        <w:tc>
          <w:p>
            <w:r>
              <w:t>1,2,4,5（V+）,3,6,7,8（V-）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DIP Switch</w:t>
            </w:r>
          </w:p>
        </w:tc>
        <w:tc>
          <w:p>
            <w:r>
              <w:t>Managed mode: Switches between managed and unmanaged mode. Managed mode includes local web management and cloud management. It is on by default.
Extend mode: The transmission distance of ports 1–8 can reach up to 250 meters. The negotiation speed can be reduced to 10 Mbps.
PoE Watchdog: Monitors the flow of data traffic for ports 1–8. If PoE fails for any of the ports and there is no traffic for 2 minutes, the failed ports will be restarted.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Uplink Speed</w:t>
            </w:r>
          </w:p>
        </w:tc>
        <w:tc>
          <w:p>
            <w:r>
              <w:t>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846,267 hours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8.4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12288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 802.3; IEEE 802.3u; IEEE 802.3x; IEEE 802.3ab; IEEE 802.3z; IEEE 802.3az; IEEE 802.3ad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Dynamic ARP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Ethernet Loop Protection</w:t>
            </w:r>
          </w:p>
        </w:tc>
        <w:tc>
          <w:p>
            <w:r>
              <w:t>STP; RSTP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IEEE 802.1Q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Link Aggregation</w:t>
            </w:r>
          </w:p>
        </w:tc>
        <w:tc>
          <w:p>
            <w:r>
              <w:t>Static Aggregation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Port Feature</w:t>
            </w:r>
          </w:p>
        </w:tc>
        <w:tc>
          <w:p>
            <w:r>
              <w:t>IEEE 802.35x Flow Control 
Unknown Unicast Suppression 
Multicast Storm Control 
Broadcast Storm Control 
MAC+PORT Binding 
loop prenvention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Mirror</w:t>
            </w:r>
          </w:p>
        </w:tc>
        <w:tc>
          <w:p>
            <w:r>
              <w:t>Local Port Mirroring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Reliability</w:t>
            </w:r>
          </w:p>
        </w:tc>
        <w:tc>
          <w:p>
            <w:r>
              <w:t>LLDP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Security</w:t>
            </w:r>
          </w:p>
        </w:tc>
        <w:tc>
          <w:p>
            <w:r>
              <w:t>Port Isolation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 
Cloud Management 
Logs 
Fault Alarm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User Manual
1 × Legal and Regulatory Information
1 × Power Cord
1 × Power Adapter
1 × Terminal Block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